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C1" w:rsidRDefault="005D20C1" w:rsidP="005D20C1">
      <w:pPr>
        <w:widowControl w:val="0"/>
        <w:spacing w:line="300" w:lineRule="auto"/>
        <w:jc w:val="both"/>
        <w:rPr>
          <w:rFonts w:ascii="仿宋" w:eastAsia="仿宋" w:hAnsi="仿宋" w:cs="方正小标宋简体"/>
          <w:kern w:val="2"/>
          <w:sz w:val="44"/>
          <w:szCs w:val="44"/>
        </w:rPr>
      </w:pPr>
      <w:r>
        <w:rPr>
          <w:rFonts w:ascii="仿宋" w:eastAsia="仿宋" w:hAnsi="仿宋" w:cs="黑体" w:hint="eastAsia"/>
          <w:kern w:val="2"/>
          <w:sz w:val="28"/>
          <w:szCs w:val="28"/>
        </w:rPr>
        <w:t>附件1</w:t>
      </w:r>
    </w:p>
    <w:p w:rsidR="005D20C1" w:rsidRDefault="005D20C1" w:rsidP="005D20C1">
      <w:pPr>
        <w:widowControl w:val="0"/>
        <w:spacing w:line="300" w:lineRule="auto"/>
        <w:jc w:val="center"/>
        <w:rPr>
          <w:rFonts w:ascii="仿宋" w:eastAsia="仿宋" w:hAnsi="仿宋" w:cs="方正小标宋简体" w:hint="eastAsia"/>
          <w:kern w:val="2"/>
          <w:sz w:val="44"/>
          <w:szCs w:val="44"/>
        </w:rPr>
      </w:pPr>
      <w:r>
        <w:rPr>
          <w:rFonts w:ascii="仿宋" w:eastAsia="仿宋" w:hAnsi="仿宋" w:cs="方正小标宋简体" w:hint="eastAsia"/>
          <w:kern w:val="2"/>
          <w:sz w:val="44"/>
          <w:szCs w:val="44"/>
        </w:rPr>
        <w:t>绍兴市公用事业集团有限公司</w:t>
      </w:r>
    </w:p>
    <w:p w:rsidR="005D20C1" w:rsidRDefault="005D20C1" w:rsidP="005D20C1">
      <w:pPr>
        <w:widowControl w:val="0"/>
        <w:spacing w:line="300" w:lineRule="auto"/>
        <w:jc w:val="center"/>
        <w:rPr>
          <w:rFonts w:ascii="仿宋" w:eastAsia="仿宋" w:hAnsi="仿宋" w:cs="方正小标宋简体" w:hint="eastAsia"/>
          <w:kern w:val="2"/>
          <w:sz w:val="44"/>
          <w:szCs w:val="44"/>
        </w:rPr>
      </w:pPr>
      <w:r>
        <w:rPr>
          <w:rFonts w:ascii="仿宋" w:eastAsia="仿宋" w:hAnsi="仿宋" w:cs="方正小标宋简体" w:hint="eastAsia"/>
          <w:kern w:val="2"/>
          <w:sz w:val="44"/>
          <w:szCs w:val="44"/>
        </w:rPr>
        <w:t>综合办公系统</w:t>
      </w:r>
      <w:proofErr w:type="gramStart"/>
      <w:r>
        <w:rPr>
          <w:rFonts w:ascii="仿宋" w:eastAsia="仿宋" w:hAnsi="仿宋" w:cs="方正小标宋简体" w:hint="eastAsia"/>
          <w:kern w:val="2"/>
          <w:sz w:val="44"/>
          <w:szCs w:val="44"/>
        </w:rPr>
        <w:t>信创改造</w:t>
      </w:r>
      <w:proofErr w:type="gramEnd"/>
      <w:r>
        <w:rPr>
          <w:rFonts w:ascii="仿宋" w:eastAsia="仿宋" w:hAnsi="仿宋" w:cs="方正小标宋简体" w:hint="eastAsia"/>
          <w:kern w:val="2"/>
          <w:sz w:val="44"/>
          <w:szCs w:val="44"/>
        </w:rPr>
        <w:t>升级采购项目询价方案</w:t>
      </w:r>
    </w:p>
    <w:p w:rsidR="005D20C1" w:rsidRDefault="005D20C1" w:rsidP="005D20C1">
      <w:pPr>
        <w:spacing w:line="300" w:lineRule="auto"/>
        <w:rPr>
          <w:rFonts w:ascii="仿宋" w:eastAsia="仿宋" w:hAnsi="仿宋" w:hint="eastAsia"/>
          <w:b/>
          <w:bCs/>
          <w:szCs w:val="20"/>
        </w:rPr>
      </w:pPr>
      <w:proofErr w:type="gramStart"/>
      <w:r>
        <w:rPr>
          <w:rFonts w:ascii="仿宋" w:eastAsia="仿宋" w:hAnsi="仿宋" w:hint="eastAsia"/>
          <w:b/>
          <w:bCs/>
          <w:szCs w:val="20"/>
        </w:rPr>
        <w:t>一</w:t>
      </w:r>
      <w:proofErr w:type="gramEnd"/>
      <w:r>
        <w:rPr>
          <w:rFonts w:ascii="仿宋" w:eastAsia="仿宋" w:hAnsi="仿宋" w:hint="eastAsia"/>
          <w:b/>
          <w:bCs/>
          <w:szCs w:val="20"/>
        </w:rPr>
        <w:t>.项目建设内容</w:t>
      </w:r>
    </w:p>
    <w:p w:rsidR="005D20C1" w:rsidRDefault="005D20C1" w:rsidP="005D20C1">
      <w:pPr>
        <w:spacing w:line="300" w:lineRule="auto"/>
        <w:ind w:firstLineChars="200" w:firstLine="480"/>
        <w:rPr>
          <w:rFonts w:ascii="仿宋" w:eastAsia="仿宋" w:hAnsi="仿宋" w:hint="eastAsia"/>
          <w:szCs w:val="20"/>
        </w:rPr>
      </w:pPr>
      <w:r>
        <w:rPr>
          <w:rFonts w:ascii="仿宋" w:eastAsia="仿宋" w:hAnsi="仿宋" w:hint="eastAsia"/>
          <w:szCs w:val="20"/>
        </w:rPr>
        <w:t>绍兴市公用事业集团有限公司综合办公系统</w:t>
      </w:r>
      <w:proofErr w:type="gramStart"/>
      <w:r>
        <w:rPr>
          <w:rFonts w:ascii="仿宋" w:eastAsia="仿宋" w:hAnsi="仿宋" w:hint="eastAsia"/>
          <w:szCs w:val="20"/>
        </w:rPr>
        <w:t>信创改造</w:t>
      </w:r>
      <w:proofErr w:type="gramEnd"/>
      <w:r>
        <w:rPr>
          <w:rFonts w:ascii="仿宋" w:eastAsia="仿宋" w:hAnsi="仿宋" w:hint="eastAsia"/>
          <w:szCs w:val="20"/>
        </w:rPr>
        <w:t>升级采购项目，主要内容是为绍兴市公用事业集团有限公司综合办公系统上</w:t>
      </w:r>
      <w:proofErr w:type="gramStart"/>
      <w:r>
        <w:rPr>
          <w:rFonts w:ascii="仿宋" w:eastAsia="仿宋" w:hAnsi="仿宋" w:hint="eastAsia"/>
          <w:szCs w:val="20"/>
        </w:rPr>
        <w:t>进行信创改造</w:t>
      </w:r>
      <w:proofErr w:type="gramEnd"/>
      <w:r>
        <w:rPr>
          <w:rFonts w:ascii="仿宋" w:eastAsia="仿宋" w:hAnsi="仿宋" w:hint="eastAsia"/>
          <w:szCs w:val="20"/>
        </w:rPr>
        <w:t>升级工作，系统包含如下内容：统一门户、流程、知识、制度、人事、安全、资产、移动应用、系统集成及下属单位应用功能等，第三方软硬件包含国产超融合服务器一套，国产数据库一套，国产中间件二套、在线编辑一套、在线预览一套。</w:t>
      </w:r>
    </w:p>
    <w:p w:rsidR="005D20C1" w:rsidRDefault="005D20C1" w:rsidP="005D20C1">
      <w:pPr>
        <w:spacing w:line="300" w:lineRule="auto"/>
        <w:ind w:firstLineChars="200" w:firstLine="480"/>
        <w:rPr>
          <w:rFonts w:ascii="仿宋" w:eastAsia="仿宋" w:hAnsi="仿宋" w:hint="eastAsia"/>
          <w:szCs w:val="20"/>
        </w:rPr>
      </w:pPr>
      <w:r>
        <w:rPr>
          <w:rFonts w:ascii="仿宋" w:eastAsia="仿宋" w:hAnsi="仿宋" w:hint="eastAsia"/>
          <w:szCs w:val="20"/>
        </w:rPr>
        <w:t>服务期：合同签订生效之日起一年。</w:t>
      </w:r>
    </w:p>
    <w:p w:rsidR="005D20C1" w:rsidRDefault="005D20C1" w:rsidP="005D20C1">
      <w:pPr>
        <w:spacing w:line="300" w:lineRule="auto"/>
        <w:ind w:firstLineChars="200" w:firstLine="482"/>
        <w:rPr>
          <w:rFonts w:ascii="仿宋" w:eastAsia="仿宋" w:hAnsi="仿宋" w:hint="eastAsia"/>
          <w:b/>
          <w:bCs/>
          <w:szCs w:val="20"/>
        </w:rPr>
      </w:pPr>
      <w:r>
        <w:rPr>
          <w:rFonts w:ascii="仿宋" w:eastAsia="仿宋" w:hAnsi="仿宋" w:hint="eastAsia"/>
          <w:b/>
          <w:bCs/>
          <w:szCs w:val="20"/>
        </w:rPr>
        <w:t>二.主要工作清单</w:t>
      </w:r>
    </w:p>
    <w:tbl>
      <w:tblPr>
        <w:tblW w:w="8876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0"/>
        <w:gridCol w:w="941"/>
        <w:gridCol w:w="5546"/>
        <w:gridCol w:w="708"/>
        <w:gridCol w:w="851"/>
      </w:tblGrid>
      <w:tr w:rsidR="005D20C1" w:rsidTr="0053685D">
        <w:trPr>
          <w:trHeight w:val="549"/>
          <w:tblHeader/>
        </w:trPr>
        <w:tc>
          <w:tcPr>
            <w:tcW w:w="830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41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5546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功能内容</w:t>
            </w:r>
          </w:p>
        </w:tc>
        <w:tc>
          <w:tcPr>
            <w:tcW w:w="708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单位</w:t>
            </w:r>
          </w:p>
        </w:tc>
      </w:tr>
      <w:tr w:rsidR="005D20C1" w:rsidTr="0053685D">
        <w:trPr>
          <w:trHeight w:val="90"/>
        </w:trPr>
        <w:tc>
          <w:tcPr>
            <w:tcW w:w="830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41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综合办公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系统升级信创</w:t>
            </w:r>
            <w:proofErr w:type="gramEnd"/>
          </w:p>
        </w:tc>
        <w:tc>
          <w:tcPr>
            <w:tcW w:w="5546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前端应用功能包含门户管理、公文管理、流程管理、知识管理、制度管理、人事管理、安全管理、资产管理、信息发布、车辆管理、会议管理及下属单位相应功能应用等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应用支撑平台功能包含门户引擎、组织引擎、内容引擎、建模引擎、移动引擎、系统日志管理（系统运行日志、系统运维日志以及系统应用操作日志）</w:t>
            </w:r>
          </w:p>
        </w:tc>
        <w:tc>
          <w:tcPr>
            <w:tcW w:w="708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</w:tr>
      <w:tr w:rsidR="005D20C1" w:rsidTr="0053685D">
        <w:trPr>
          <w:trHeight w:val="711"/>
        </w:trPr>
        <w:tc>
          <w:tcPr>
            <w:tcW w:w="830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941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系统优化部分</w:t>
            </w:r>
          </w:p>
        </w:tc>
        <w:tc>
          <w:tcPr>
            <w:tcW w:w="5546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集团及下属单位流程重构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数据集成应用功能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办公系统集成浙政钉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市政府的OA系统对接，公文交换平台直接收文流转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市档案馆对接，公文档案一键归档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市国资平台对接，人事数据和资产数据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集团应用系统单点登陆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集团工程系统对接等</w:t>
            </w:r>
          </w:p>
        </w:tc>
        <w:tc>
          <w:tcPr>
            <w:tcW w:w="708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</w:tr>
      <w:tr w:rsidR="005D20C1" w:rsidTr="0053685D">
        <w:trPr>
          <w:trHeight w:val="641"/>
        </w:trPr>
        <w:tc>
          <w:tcPr>
            <w:tcW w:w="830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941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数据库</w:t>
            </w:r>
          </w:p>
        </w:tc>
        <w:tc>
          <w:tcPr>
            <w:tcW w:w="5546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国产数据库</w:t>
            </w:r>
          </w:p>
        </w:tc>
        <w:tc>
          <w:tcPr>
            <w:tcW w:w="708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</w:tr>
      <w:tr w:rsidR="005D20C1" w:rsidTr="0053685D">
        <w:trPr>
          <w:trHeight w:val="551"/>
        </w:trPr>
        <w:tc>
          <w:tcPr>
            <w:tcW w:w="830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941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中间件</w:t>
            </w:r>
          </w:p>
        </w:tc>
        <w:tc>
          <w:tcPr>
            <w:tcW w:w="5546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国产中间件</w:t>
            </w:r>
          </w:p>
        </w:tc>
        <w:tc>
          <w:tcPr>
            <w:tcW w:w="708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</w:tr>
      <w:tr w:rsidR="005D20C1" w:rsidTr="0053685D">
        <w:trPr>
          <w:trHeight w:val="442"/>
        </w:trPr>
        <w:tc>
          <w:tcPr>
            <w:tcW w:w="830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941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在线预览</w:t>
            </w:r>
          </w:p>
        </w:tc>
        <w:tc>
          <w:tcPr>
            <w:tcW w:w="5546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在线预览</w:t>
            </w:r>
          </w:p>
        </w:tc>
        <w:tc>
          <w:tcPr>
            <w:tcW w:w="708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</w:tr>
      <w:tr w:rsidR="005D20C1" w:rsidTr="0053685D">
        <w:trPr>
          <w:trHeight w:val="1324"/>
        </w:trPr>
        <w:tc>
          <w:tcPr>
            <w:tcW w:w="830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941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在线编辑</w:t>
            </w:r>
          </w:p>
        </w:tc>
        <w:tc>
          <w:tcPr>
            <w:tcW w:w="5546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在线预览</w:t>
            </w:r>
          </w:p>
        </w:tc>
        <w:tc>
          <w:tcPr>
            <w:tcW w:w="708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</w:tr>
      <w:tr w:rsidR="005D20C1" w:rsidTr="0053685D">
        <w:trPr>
          <w:trHeight w:val="1324"/>
        </w:trPr>
        <w:tc>
          <w:tcPr>
            <w:tcW w:w="830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941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超融合一体机</w:t>
            </w:r>
          </w:p>
        </w:tc>
        <w:tc>
          <w:tcPr>
            <w:tcW w:w="5546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超融合服务器及交换机</w:t>
            </w:r>
          </w:p>
        </w:tc>
        <w:tc>
          <w:tcPr>
            <w:tcW w:w="708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D20C1" w:rsidRDefault="005D20C1" w:rsidP="0053685D">
            <w:pPr>
              <w:spacing w:line="30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</w:tr>
    </w:tbl>
    <w:p w:rsidR="005D20C1" w:rsidRDefault="005D20C1" w:rsidP="005D20C1">
      <w:pPr>
        <w:spacing w:line="300" w:lineRule="auto"/>
        <w:rPr>
          <w:rFonts w:ascii="仿宋" w:eastAsia="仿宋" w:hAnsi="仿宋" w:hint="eastAsia"/>
          <w:b/>
          <w:bCs/>
          <w:szCs w:val="20"/>
        </w:rPr>
      </w:pPr>
      <w:r>
        <w:rPr>
          <w:rFonts w:ascii="仿宋" w:eastAsia="仿宋" w:hAnsi="仿宋" w:hint="eastAsia"/>
          <w:b/>
          <w:bCs/>
          <w:szCs w:val="20"/>
        </w:rPr>
        <w:t>三.技术要求</w:t>
      </w:r>
    </w:p>
    <w:tbl>
      <w:tblPr>
        <w:tblW w:w="92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996"/>
        <w:gridCol w:w="1418"/>
        <w:gridCol w:w="6095"/>
      </w:tblGrid>
      <w:tr w:rsidR="005D20C1" w:rsidTr="0053685D">
        <w:trPr>
          <w:trHeight w:val="450"/>
          <w:tblHeader/>
          <w:jc w:val="center"/>
        </w:trPr>
        <w:tc>
          <w:tcPr>
            <w:tcW w:w="720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996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1418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应用功能</w:t>
            </w:r>
          </w:p>
        </w:tc>
        <w:tc>
          <w:tcPr>
            <w:tcW w:w="6095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技术内容</w:t>
            </w:r>
          </w:p>
        </w:tc>
      </w:tr>
      <w:tr w:rsidR="005D20C1" w:rsidTr="0053685D">
        <w:trPr>
          <w:trHeight w:val="1990"/>
          <w:jc w:val="center"/>
        </w:trPr>
        <w:tc>
          <w:tcPr>
            <w:tcW w:w="720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996" w:type="dxa"/>
            <w:vMerge w:val="restart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综合办公系统</w:t>
            </w:r>
          </w:p>
        </w:tc>
        <w:tc>
          <w:tcPr>
            <w:tcW w:w="1418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门户管理</w:t>
            </w:r>
          </w:p>
        </w:tc>
        <w:tc>
          <w:tcPr>
            <w:tcW w:w="6095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个人工作桌面，用户可以根据模块使用频率自行调整;领导个性化定制桌面;单位信息门户，单位有权限配置自己内部人员和流程操作者;专题信息门户,人事、资产等专题信息化门户</w:t>
            </w:r>
          </w:p>
        </w:tc>
      </w:tr>
      <w:tr w:rsidR="005D20C1" w:rsidTr="0053685D">
        <w:trPr>
          <w:trHeight w:val="1409"/>
          <w:jc w:val="center"/>
        </w:trPr>
        <w:tc>
          <w:tcPr>
            <w:tcW w:w="720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996" w:type="dxa"/>
            <w:vMerge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</w:p>
        </w:tc>
        <w:tc>
          <w:tcPr>
            <w:tcW w:w="1418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公文管理</w:t>
            </w:r>
          </w:p>
        </w:tc>
        <w:tc>
          <w:tcPr>
            <w:tcW w:w="6095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严格按照国家公文管理规定提供完备的电子公文管理功能，包含发文、收文、公文交换、公文督办、公文查询、公文统计等功能，实现下属单位间公文流转、公文收发</w:t>
            </w:r>
          </w:p>
        </w:tc>
      </w:tr>
      <w:tr w:rsidR="005D20C1" w:rsidTr="0053685D">
        <w:trPr>
          <w:trHeight w:val="1131"/>
          <w:jc w:val="center"/>
        </w:trPr>
        <w:tc>
          <w:tcPr>
            <w:tcW w:w="720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</w:p>
        </w:tc>
        <w:tc>
          <w:tcPr>
            <w:tcW w:w="1418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流程管理</w:t>
            </w:r>
          </w:p>
        </w:tc>
        <w:tc>
          <w:tcPr>
            <w:tcW w:w="6095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现自定义各种简单到复杂的流程，如集团及各子单位日常行政办公审批类流程、公文流转流程、工程及招标类流程、人事管理类流程、资产类流程、安全类流程、财务类流程等支持流程表单的数据关联性，联动性。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流程功能包括：发起流程、待办、已办、办结、流程跟踪、流程转发、流程监控、流程报表、流程效率分析、流程优化、流程提醒等。</w:t>
            </w:r>
          </w:p>
        </w:tc>
      </w:tr>
      <w:tr w:rsidR="005D20C1" w:rsidTr="0053685D">
        <w:trPr>
          <w:trHeight w:val="2467"/>
          <w:jc w:val="center"/>
        </w:trPr>
        <w:tc>
          <w:tcPr>
            <w:tcW w:w="720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996" w:type="dxa"/>
            <w:vMerge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</w:p>
        </w:tc>
        <w:tc>
          <w:tcPr>
            <w:tcW w:w="1418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知识管理</w:t>
            </w:r>
          </w:p>
        </w:tc>
        <w:tc>
          <w:tcPr>
            <w:tcW w:w="6095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实现信创</w:t>
            </w:r>
            <w:proofErr w:type="gramEnd"/>
            <w:r>
              <w:rPr>
                <w:rFonts w:ascii="仿宋" w:eastAsia="仿宋" w:hAnsi="仿宋" w:hint="eastAsia"/>
              </w:rPr>
              <w:t>环境下的知识管理，能有效管理集团各类知识文档资料，实现知识的分享和利用。能实现全文搜索类似百度知识库。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知识文档批量加密：提供安全保障策略，帮助集团保障文档资产的安全防泄密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知识文档水印管理：水印的内容可以自定义，包括文字水印和图片水印，可以包含用户信息、日期、时间等。水印的透明度、旋转角度、高度和宽度等属性也可以进行调整</w:t>
            </w:r>
          </w:p>
        </w:tc>
      </w:tr>
      <w:tr w:rsidR="005D20C1" w:rsidTr="0053685D">
        <w:trPr>
          <w:trHeight w:val="778"/>
          <w:jc w:val="center"/>
        </w:trPr>
        <w:tc>
          <w:tcPr>
            <w:tcW w:w="720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5</w:t>
            </w:r>
          </w:p>
        </w:tc>
        <w:tc>
          <w:tcPr>
            <w:tcW w:w="996" w:type="dxa"/>
            <w:vMerge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</w:p>
        </w:tc>
        <w:tc>
          <w:tcPr>
            <w:tcW w:w="1418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人事管理</w:t>
            </w:r>
          </w:p>
        </w:tc>
        <w:tc>
          <w:tcPr>
            <w:tcW w:w="6095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实现</w:t>
            </w:r>
            <w:proofErr w:type="gramStart"/>
            <w:r>
              <w:rPr>
                <w:rFonts w:ascii="仿宋" w:eastAsia="仿宋" w:hAnsi="仿宋" w:hint="eastAsia"/>
              </w:rPr>
              <w:t>集团信创环境</w:t>
            </w:r>
            <w:proofErr w:type="gramEnd"/>
            <w:r>
              <w:rPr>
                <w:rFonts w:ascii="仿宋" w:eastAsia="仿宋" w:hAnsi="仿宋" w:hint="eastAsia"/>
              </w:rPr>
              <w:t>下的人事信息管理，包括人事信息、人事操作、组织维护、薪资管理、人事报表等功能应用</w:t>
            </w:r>
          </w:p>
        </w:tc>
      </w:tr>
      <w:tr w:rsidR="005D20C1" w:rsidTr="0053685D">
        <w:trPr>
          <w:trHeight w:val="1221"/>
          <w:jc w:val="center"/>
        </w:trPr>
        <w:tc>
          <w:tcPr>
            <w:tcW w:w="720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996" w:type="dxa"/>
            <w:vMerge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</w:p>
        </w:tc>
        <w:tc>
          <w:tcPr>
            <w:tcW w:w="1418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资产管理</w:t>
            </w:r>
          </w:p>
        </w:tc>
        <w:tc>
          <w:tcPr>
            <w:tcW w:w="6095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实现</w:t>
            </w:r>
            <w:proofErr w:type="gramStart"/>
            <w:r>
              <w:rPr>
                <w:rFonts w:ascii="仿宋" w:eastAsia="仿宋" w:hAnsi="仿宋" w:hint="eastAsia"/>
              </w:rPr>
              <w:t>集团信创环境</w:t>
            </w:r>
            <w:proofErr w:type="gramEnd"/>
            <w:r>
              <w:rPr>
                <w:rFonts w:ascii="仿宋" w:eastAsia="仿宋" w:hAnsi="仿宋" w:hint="eastAsia"/>
              </w:rPr>
              <w:t>下的资产管理，包括资产查询、资产相关流程、资产范围、长期股权投资、固定资产、无形资产等功能应用</w:t>
            </w:r>
          </w:p>
        </w:tc>
      </w:tr>
      <w:tr w:rsidR="005D20C1" w:rsidTr="0053685D">
        <w:trPr>
          <w:trHeight w:val="937"/>
          <w:jc w:val="center"/>
        </w:trPr>
        <w:tc>
          <w:tcPr>
            <w:tcW w:w="720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996" w:type="dxa"/>
            <w:vMerge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</w:p>
        </w:tc>
        <w:tc>
          <w:tcPr>
            <w:tcW w:w="1418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安全管理</w:t>
            </w:r>
          </w:p>
        </w:tc>
        <w:tc>
          <w:tcPr>
            <w:tcW w:w="6095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实现</w:t>
            </w:r>
            <w:proofErr w:type="gramStart"/>
            <w:r>
              <w:rPr>
                <w:rFonts w:ascii="仿宋" w:eastAsia="仿宋" w:hAnsi="仿宋" w:hint="eastAsia"/>
              </w:rPr>
              <w:t>集团信创环境</w:t>
            </w:r>
            <w:proofErr w:type="gramEnd"/>
            <w:r>
              <w:rPr>
                <w:rFonts w:ascii="仿宋" w:eastAsia="仿宋" w:hAnsi="仿宋" w:hint="eastAsia"/>
              </w:rPr>
              <w:t>下的安全管理，包括</w:t>
            </w:r>
            <w:proofErr w:type="gramStart"/>
            <w:r>
              <w:rPr>
                <w:rFonts w:ascii="仿宋" w:eastAsia="仿宋" w:hAnsi="仿宋" w:hint="eastAsia"/>
              </w:rPr>
              <w:t>安全台</w:t>
            </w:r>
            <w:proofErr w:type="gramEnd"/>
            <w:r>
              <w:rPr>
                <w:rFonts w:ascii="仿宋" w:eastAsia="仿宋" w:hAnsi="仿宋" w:hint="eastAsia"/>
              </w:rPr>
              <w:t>帐、隐患整治、应急管理、视频监控平台对接等应用模块</w:t>
            </w:r>
          </w:p>
        </w:tc>
      </w:tr>
      <w:tr w:rsidR="005D20C1" w:rsidTr="0053685D">
        <w:trPr>
          <w:trHeight w:val="978"/>
          <w:jc w:val="center"/>
        </w:trPr>
        <w:tc>
          <w:tcPr>
            <w:tcW w:w="720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996" w:type="dxa"/>
            <w:vMerge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</w:p>
        </w:tc>
        <w:tc>
          <w:tcPr>
            <w:tcW w:w="1418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后端应用支撑平台</w:t>
            </w:r>
          </w:p>
        </w:tc>
        <w:tc>
          <w:tcPr>
            <w:tcW w:w="6095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proofErr w:type="gramStart"/>
            <w:r>
              <w:rPr>
                <w:rFonts w:ascii="仿宋" w:eastAsia="仿宋" w:hAnsi="仿宋" w:hint="eastAsia"/>
              </w:rPr>
              <w:t>信创环境</w:t>
            </w:r>
            <w:proofErr w:type="gramEnd"/>
            <w:r>
              <w:rPr>
                <w:rFonts w:ascii="仿宋" w:eastAsia="仿宋" w:hAnsi="仿宋" w:hint="eastAsia"/>
              </w:rPr>
              <w:t>下统一权限引擎、门户引擎、流程引擎、内容引擎、集成引擎、建模引擎以及移动引擎等基础应用平台支撑功能，可</w:t>
            </w:r>
            <w:proofErr w:type="gramStart"/>
            <w:r>
              <w:rPr>
                <w:rFonts w:ascii="仿宋" w:eastAsia="仿宋" w:hAnsi="仿宋" w:hint="eastAsia"/>
              </w:rPr>
              <w:t>实现信创</w:t>
            </w:r>
            <w:proofErr w:type="gramEnd"/>
            <w:r>
              <w:rPr>
                <w:rFonts w:ascii="仿宋" w:eastAsia="仿宋" w:hAnsi="仿宋" w:hint="eastAsia"/>
              </w:rPr>
              <w:t>环境下的低代码平台，可视化配置，通过拖拉方式生成，无需代码开发即可快捷构建各类应用。</w:t>
            </w:r>
          </w:p>
        </w:tc>
      </w:tr>
      <w:tr w:rsidR="005D20C1" w:rsidTr="0053685D">
        <w:trPr>
          <w:trHeight w:val="957"/>
          <w:jc w:val="center"/>
        </w:trPr>
        <w:tc>
          <w:tcPr>
            <w:tcW w:w="720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996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系统优化</w:t>
            </w:r>
          </w:p>
        </w:tc>
        <w:tc>
          <w:tcPr>
            <w:tcW w:w="1418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系统集成</w:t>
            </w:r>
          </w:p>
        </w:tc>
        <w:tc>
          <w:tcPr>
            <w:tcW w:w="6095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集团及下属单位流程重构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数据集成应用功能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办公系统集成浙政钉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市政府的OA系统对接，公文交换平台直接收文流转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市档案馆对接，公文档案一键归档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市国资平台对接，人事数据和资产数据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集团应用系统单点登陆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集团工程系统对接等</w:t>
            </w:r>
          </w:p>
        </w:tc>
      </w:tr>
      <w:tr w:rsidR="005D20C1" w:rsidTr="0053685D">
        <w:trPr>
          <w:trHeight w:val="1419"/>
          <w:jc w:val="center"/>
        </w:trPr>
        <w:tc>
          <w:tcPr>
            <w:tcW w:w="720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996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第三方软件</w:t>
            </w:r>
          </w:p>
        </w:tc>
        <w:tc>
          <w:tcPr>
            <w:tcW w:w="1418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第三方软件</w:t>
            </w:r>
          </w:p>
        </w:tc>
        <w:tc>
          <w:tcPr>
            <w:tcW w:w="6095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国产数据库1套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国产中间件2套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在线预览1套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在线预览1套</w:t>
            </w:r>
          </w:p>
        </w:tc>
      </w:tr>
      <w:tr w:rsidR="005D20C1" w:rsidTr="0053685D">
        <w:trPr>
          <w:trHeight w:val="2403"/>
          <w:jc w:val="center"/>
        </w:trPr>
        <w:tc>
          <w:tcPr>
            <w:tcW w:w="720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996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国产服务器</w:t>
            </w:r>
          </w:p>
        </w:tc>
        <w:tc>
          <w:tcPr>
            <w:tcW w:w="1418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超融合一体机及交换机</w:t>
            </w:r>
          </w:p>
        </w:tc>
        <w:tc>
          <w:tcPr>
            <w:tcW w:w="6095" w:type="dxa"/>
            <w:vAlign w:val="center"/>
          </w:tcPr>
          <w:p w:rsidR="005D20C1" w:rsidRDefault="005D20C1" w:rsidP="0053685D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硬件参数：规格：2U，CPU：2颗</w:t>
            </w:r>
            <w:proofErr w:type="spellStart"/>
            <w:r>
              <w:rPr>
                <w:rFonts w:ascii="仿宋" w:eastAsia="仿宋" w:hAnsi="仿宋" w:hint="eastAsia"/>
              </w:rPr>
              <w:t>hygon</w:t>
            </w:r>
            <w:proofErr w:type="spellEnd"/>
            <w:r>
              <w:rPr>
                <w:rFonts w:ascii="仿宋" w:eastAsia="仿宋" w:hAnsi="仿宋" w:hint="eastAsia"/>
              </w:rPr>
              <w:t xml:space="preserve"> 5380 2.5GHz（16C），内存：4*32GB DDR4 3200，系统盘：2*240GB SATA，缓存盘：固态硬盘-960G-SSD（读密集型）(*2个)，数据盘：机械硬盘4T(*4个)；，</w:t>
            </w:r>
            <w:proofErr w:type="gramStart"/>
            <w:r>
              <w:rPr>
                <w:rFonts w:ascii="仿宋" w:eastAsia="仿宋" w:hAnsi="仿宋" w:hint="eastAsia"/>
              </w:rPr>
              <w:t>标配盘</w:t>
            </w:r>
            <w:proofErr w:type="gramEnd"/>
            <w:r>
              <w:rPr>
                <w:rFonts w:ascii="仿宋" w:eastAsia="仿宋" w:hAnsi="仿宋" w:hint="eastAsia"/>
              </w:rPr>
              <w:t>位数：12，电源：白金，冗余电源，接口：4</w:t>
            </w:r>
            <w:proofErr w:type="gramStart"/>
            <w:r>
              <w:rPr>
                <w:rFonts w:ascii="仿宋" w:eastAsia="仿宋" w:hAnsi="仿宋" w:hint="eastAsia"/>
              </w:rPr>
              <w:t>千兆电口</w:t>
            </w:r>
            <w:proofErr w:type="gramEnd"/>
            <w:r>
              <w:rPr>
                <w:rFonts w:ascii="仿宋" w:eastAsia="仿宋" w:hAnsi="仿宋" w:hint="eastAsia"/>
              </w:rPr>
              <w:t>+2</w:t>
            </w:r>
            <w:proofErr w:type="gramStart"/>
            <w:r>
              <w:rPr>
                <w:rFonts w:ascii="仿宋" w:eastAsia="仿宋" w:hAnsi="仿宋" w:hint="eastAsia"/>
              </w:rPr>
              <w:t>万兆</w:t>
            </w:r>
            <w:proofErr w:type="gramEnd"/>
            <w:r>
              <w:rPr>
                <w:rFonts w:ascii="仿宋" w:eastAsia="仿宋" w:hAnsi="仿宋" w:hint="eastAsia"/>
              </w:rPr>
              <w:t>光口。千兆多模-850-550m-双</w:t>
            </w:r>
            <w:proofErr w:type="gramStart"/>
            <w:r>
              <w:rPr>
                <w:rFonts w:ascii="仿宋" w:eastAsia="仿宋" w:hAnsi="仿宋" w:hint="eastAsia"/>
              </w:rPr>
              <w:t>纤</w:t>
            </w:r>
            <w:proofErr w:type="gramEnd"/>
            <w:r>
              <w:rPr>
                <w:rFonts w:ascii="仿宋" w:eastAsia="仿宋" w:hAnsi="仿宋" w:hint="eastAsia"/>
              </w:rPr>
              <w:t>(*4个)；光纤线-多模-LC-LC-3M(*2个)；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软件部分（三年授权）：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proofErr w:type="gramStart"/>
            <w:r>
              <w:rPr>
                <w:rFonts w:ascii="仿宋" w:eastAsia="仿宋" w:hAnsi="仿宋" w:hint="eastAsia"/>
              </w:rPr>
              <w:t>云计算</w:t>
            </w:r>
            <w:proofErr w:type="gramEnd"/>
            <w:r>
              <w:rPr>
                <w:rFonts w:ascii="仿宋" w:eastAsia="仿宋" w:hAnsi="仿宋" w:hint="eastAsia"/>
              </w:rPr>
              <w:t>管理软件高级版；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计算虚拟化组件；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网络虚拟化组件；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存储虚拟化组件；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麒麟内核OS授权（A）；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安全虚拟化组件规则库升级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安全虚拟化组件；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提供国产操作系统（永久授权）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服务：产品质保（标准版）；软件升级（企业版）(*3年)；</w:t>
            </w:r>
            <w:r>
              <w:rPr>
                <w:rFonts w:ascii="仿宋" w:eastAsia="仿宋" w:hAnsi="仿宋"/>
              </w:rPr>
              <w:t xml:space="preserve"> </w:t>
            </w:r>
          </w:p>
          <w:p w:rsidR="005D20C1" w:rsidRDefault="005D20C1" w:rsidP="0053685D">
            <w:pPr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万兆交换机，12个万兆光口，12个</w:t>
            </w:r>
            <w:proofErr w:type="gramStart"/>
            <w:r>
              <w:rPr>
                <w:rFonts w:ascii="仿宋" w:eastAsia="仿宋" w:hAnsi="仿宋" w:hint="eastAsia"/>
              </w:rPr>
              <w:t>千兆电口</w:t>
            </w:r>
            <w:proofErr w:type="gramEnd"/>
            <w:r>
              <w:rPr>
                <w:rFonts w:ascii="仿宋" w:eastAsia="仿宋" w:hAnsi="仿宋" w:hint="eastAsia"/>
              </w:rPr>
              <w:t>；交换容量：1.28Tbps/12.8Tbps，包转发率：480Mpps；支持全端口线速转发；</w:t>
            </w:r>
          </w:p>
        </w:tc>
      </w:tr>
    </w:tbl>
    <w:p w:rsidR="00D56028" w:rsidRPr="005D20C1" w:rsidRDefault="00D56028"/>
    <w:sectPr w:rsidR="00D56028" w:rsidRPr="005D20C1" w:rsidSect="00D56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20C1"/>
    <w:rsid w:val="005D20C1"/>
    <w:rsid w:val="00D5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C1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20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20C1"/>
    <w:rPr>
      <w:rFonts w:ascii="宋体" w:eastAsia="宋体" w:hAnsi="宋体" w:cs="宋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2024-10-14T07:22:00Z</dcterms:created>
  <dcterms:modified xsi:type="dcterms:W3CDTF">2024-10-14T07:23:00Z</dcterms:modified>
</cp:coreProperties>
</file>